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FECB0"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</w:rPr>
        <w:t>附件1：</w:t>
      </w:r>
    </w:p>
    <w:p w14:paraId="5C7674E2">
      <w:pPr>
        <w:pStyle w:val="2"/>
        <w:spacing w:line="560" w:lineRule="exact"/>
        <w:ind w:left="42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临时用地申请范围</w:t>
      </w:r>
    </w:p>
    <w:p w14:paraId="129C242A">
      <w:pPr>
        <w:spacing w:line="560" w:lineRule="exact"/>
        <w:rPr>
          <w:rFonts w:hint="eastAsia"/>
          <w:color w:val="auto"/>
          <w:u w:val="none"/>
        </w:rPr>
      </w:pPr>
    </w:p>
    <w:p w14:paraId="3A281D1E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一、建设项目施工包含有14类详细用途，分别为：临时办公用房、生活用房、工棚、农用地表土剥离堆放场、材料堆场、制梁场、拌合站、钢筋加工厂、施工便道、运输便道、地上线路架设、地下管线敷设作业，能源交通水利等基础设施项目的取土场、弃土（渣）场。</w:t>
      </w:r>
    </w:p>
    <w:p w14:paraId="68643FA8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二、勘查包含有9种详细用途，分别为：临时生活用房、临时工棚、勘查作业及其辅助工程、施工便道、运输便道、油气钻井井场、油气配套管线、油气电力设施、油气进场道路。</w:t>
      </w:r>
    </w:p>
    <w:p w14:paraId="0A552E8B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三、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考古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文物保护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包含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3类详细用途，分别为：考古和文物保护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工地建设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临时性文物保护设施、临时性工地安全设施、临时性后勤设施。</w:t>
      </w:r>
    </w:p>
    <w:p w14:paraId="27082517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四、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符合法律、法规规定的其他需要临时使用的土地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。</w:t>
      </w:r>
      <w:bookmarkStart w:id="0" w:name="_GoBack"/>
      <w:bookmarkEnd w:id="0"/>
    </w:p>
    <w:p w14:paraId="3EA60B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0E72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69432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E69432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mVjMDU2NzQwZjE2MjVkYmY4MjE3YzVmYzFmOWQifQ=="/>
  </w:docVars>
  <w:rsids>
    <w:rsidRoot w:val="486B495A"/>
    <w:rsid w:val="486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suppressAutoHyphens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2024-08-19T03:43:00Z</dcterms:created>
  <dc:creator>笑一个</dc:creator>
  <cp:lastModifiedBy>笑一个</cp:lastModifiedBy>
  <dcterms:modified xsi:type="dcterms:W3CDTF">2024-08-19T03:44:38Z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44D25B04366D4101BE608482E0A049F1_11</vt:lpwstr>
  </property>
</Properties>
</file>